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D1" w:rsidRPr="00185637" w:rsidRDefault="004600D1" w:rsidP="004600D1">
      <w:pPr>
        <w:keepNext/>
        <w:keepLines/>
        <w:tabs>
          <w:tab w:val="left" w:pos="5790"/>
        </w:tabs>
        <w:spacing w:after="0" w:line="240" w:lineRule="auto"/>
        <w:ind w:firstLine="709"/>
        <w:jc w:val="center"/>
        <w:rPr>
          <w:rFonts w:ascii="PT Astra Serif" w:hAnsi="PT Astra Serif"/>
          <w:b/>
          <w:sz w:val="28"/>
          <w:szCs w:val="28"/>
        </w:rPr>
      </w:pPr>
      <w:r w:rsidRPr="00185637">
        <w:rPr>
          <w:rFonts w:ascii="PT Astra Serif" w:hAnsi="PT Astra Serif"/>
          <w:b/>
          <w:sz w:val="28"/>
          <w:szCs w:val="28"/>
        </w:rPr>
        <w:t xml:space="preserve">Отчет за </w:t>
      </w:r>
      <w:r>
        <w:rPr>
          <w:rFonts w:ascii="PT Astra Serif" w:hAnsi="PT Astra Serif"/>
          <w:b/>
          <w:sz w:val="28"/>
          <w:szCs w:val="28"/>
        </w:rPr>
        <w:t xml:space="preserve">12 месяцев </w:t>
      </w:r>
      <w:r w:rsidRPr="00185637">
        <w:rPr>
          <w:rFonts w:ascii="PT Astra Serif" w:hAnsi="PT Astra Serif"/>
          <w:b/>
          <w:sz w:val="28"/>
          <w:szCs w:val="28"/>
        </w:rPr>
        <w:t xml:space="preserve"> 2024 г.</w:t>
      </w:r>
    </w:p>
    <w:p w:rsidR="004600D1" w:rsidRPr="00185637" w:rsidRDefault="004600D1" w:rsidP="004600D1">
      <w:pPr>
        <w:keepNext/>
        <w:keepLines/>
        <w:tabs>
          <w:tab w:val="left" w:pos="5790"/>
        </w:tabs>
        <w:spacing w:after="0" w:line="240" w:lineRule="auto"/>
        <w:ind w:firstLine="709"/>
        <w:jc w:val="center"/>
        <w:rPr>
          <w:rFonts w:ascii="PT Astra Serif" w:hAnsi="PT Astra Serif"/>
          <w:b/>
          <w:sz w:val="28"/>
          <w:szCs w:val="28"/>
        </w:rPr>
      </w:pPr>
      <w:r w:rsidRPr="00185637">
        <w:rPr>
          <w:rFonts w:ascii="PT Astra Serif" w:hAnsi="PT Astra Serif"/>
          <w:b/>
          <w:sz w:val="28"/>
          <w:szCs w:val="28"/>
        </w:rPr>
        <w:t>Обращения граждан.</w:t>
      </w:r>
    </w:p>
    <w:p w:rsidR="004600D1" w:rsidRPr="00185637" w:rsidRDefault="004600D1" w:rsidP="004600D1">
      <w:pPr>
        <w:keepNext/>
        <w:keepLines/>
        <w:tabs>
          <w:tab w:val="left" w:pos="5790"/>
        </w:tabs>
        <w:spacing w:after="0" w:line="240" w:lineRule="auto"/>
        <w:ind w:firstLine="709"/>
        <w:jc w:val="both"/>
        <w:rPr>
          <w:rFonts w:ascii="PT Astra Serif" w:hAnsi="PT Astra Serif"/>
          <w:b/>
          <w:sz w:val="28"/>
          <w:szCs w:val="28"/>
        </w:rPr>
      </w:pPr>
    </w:p>
    <w:p w:rsidR="004600D1" w:rsidRPr="00185637" w:rsidRDefault="004600D1" w:rsidP="004600D1">
      <w:pPr>
        <w:pStyle w:val="2"/>
        <w:keepNext/>
        <w:keepLines/>
        <w:shd w:val="clear" w:color="auto" w:fill="auto"/>
        <w:tabs>
          <w:tab w:val="left" w:pos="309"/>
        </w:tabs>
        <w:spacing w:after="0" w:line="240" w:lineRule="auto"/>
        <w:ind w:firstLine="0"/>
        <w:rPr>
          <w:rFonts w:ascii="PT Astra Serif" w:hAnsi="PT Astra Serif"/>
        </w:rPr>
      </w:pPr>
    </w:p>
    <w:p w:rsidR="004600D1" w:rsidRPr="00482C06" w:rsidRDefault="004600D1" w:rsidP="004600D1">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января  по </w:t>
      </w:r>
      <w:r>
        <w:rPr>
          <w:rFonts w:ascii="PT Astra Serif" w:eastAsia="Times New Roman" w:hAnsi="PT Astra Serif"/>
          <w:color w:val="000000"/>
          <w:sz w:val="28"/>
          <w:szCs w:val="28"/>
          <w:lang w:eastAsia="ru-RU"/>
        </w:rPr>
        <w:t xml:space="preserve">31декабря </w:t>
      </w:r>
      <w:r w:rsidRPr="003A4550">
        <w:rPr>
          <w:rFonts w:ascii="PT Astra Serif" w:eastAsia="Times New Roman" w:hAnsi="PT Astra Serif"/>
          <w:color w:val="000000"/>
          <w:sz w:val="28"/>
          <w:szCs w:val="28"/>
          <w:lang w:eastAsia="ru-RU"/>
        </w:rPr>
        <w:t>202</w:t>
      </w:r>
      <w:r>
        <w:rPr>
          <w:rFonts w:ascii="PT Astra Serif" w:eastAsia="Times New Roman" w:hAnsi="PT Astra Serif"/>
          <w:color w:val="000000"/>
          <w:sz w:val="28"/>
          <w:szCs w:val="28"/>
          <w:lang w:eastAsia="ru-RU"/>
        </w:rPr>
        <w:t>4</w:t>
      </w:r>
      <w:r w:rsidRPr="003A4550">
        <w:rPr>
          <w:rFonts w:ascii="PT Astra Serif" w:eastAsia="Times New Roman" w:hAnsi="PT Astra Serif"/>
          <w:color w:val="000000"/>
          <w:sz w:val="28"/>
          <w:szCs w:val="28"/>
          <w:lang w:eastAsia="ru-RU"/>
        </w:rPr>
        <w:t xml:space="preserve"> года поступило и рассмотрено</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 xml:space="preserve">4188 </w:t>
      </w:r>
      <w:r w:rsidRPr="00482C06">
        <w:rPr>
          <w:rFonts w:ascii="PT Astra Serif" w:eastAsia="Times New Roman" w:hAnsi="PT Astra Serif"/>
          <w:b/>
          <w:color w:val="000000"/>
          <w:sz w:val="28"/>
          <w:szCs w:val="28"/>
          <w:lang w:eastAsia="ru-RU"/>
        </w:rPr>
        <w:t>обращений</w:t>
      </w:r>
      <w:r>
        <w:rPr>
          <w:rFonts w:ascii="PT Astra Serif" w:eastAsia="Times New Roman" w:hAnsi="PT Astra Serif"/>
          <w:color w:val="000000"/>
          <w:sz w:val="28"/>
          <w:szCs w:val="28"/>
          <w:lang w:eastAsia="ru-RU"/>
        </w:rPr>
        <w:t xml:space="preserve">  граждан.</w:t>
      </w:r>
    </w:p>
    <w:p w:rsidR="004600D1" w:rsidRPr="003A4550" w:rsidRDefault="004600D1" w:rsidP="004600D1">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от заявителей  – </w:t>
      </w:r>
      <w:r>
        <w:rPr>
          <w:rFonts w:ascii="PT Astra Serif" w:eastAsia="Times New Roman" w:hAnsi="PT Astra Serif"/>
          <w:b/>
          <w:color w:val="000000"/>
          <w:sz w:val="28"/>
          <w:szCs w:val="28"/>
          <w:lang w:eastAsia="ru-RU"/>
        </w:rPr>
        <w:t xml:space="preserve">2465 </w:t>
      </w:r>
      <w:r w:rsidRPr="003A4550">
        <w:rPr>
          <w:rFonts w:ascii="PT Astra Serif" w:eastAsia="Times New Roman" w:hAnsi="PT Astra Serif"/>
          <w:color w:val="000000"/>
          <w:sz w:val="28"/>
          <w:szCs w:val="28"/>
          <w:lang w:eastAsia="ru-RU"/>
        </w:rPr>
        <w:t>обращений, из Правительства Ульяновской области –</w:t>
      </w:r>
      <w:r>
        <w:rPr>
          <w:rFonts w:ascii="PT Astra Serif" w:eastAsia="Times New Roman" w:hAnsi="PT Astra Serif"/>
          <w:b/>
          <w:color w:val="000000"/>
          <w:sz w:val="28"/>
          <w:szCs w:val="28"/>
          <w:lang w:eastAsia="ru-RU"/>
        </w:rPr>
        <w:t xml:space="preserve">1723 </w:t>
      </w:r>
      <w:r w:rsidRPr="003A4550">
        <w:rPr>
          <w:rFonts w:ascii="PT Astra Serif" w:eastAsia="Times New Roman" w:hAnsi="PT Astra Serif"/>
          <w:color w:val="000000"/>
          <w:sz w:val="28"/>
          <w:szCs w:val="28"/>
          <w:lang w:eastAsia="ru-RU"/>
        </w:rPr>
        <w:t>обращений.</w:t>
      </w:r>
    </w:p>
    <w:p w:rsidR="004600D1" w:rsidRPr="003A4550" w:rsidRDefault="004600D1" w:rsidP="004600D1">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С 1 января по</w:t>
      </w:r>
      <w:r>
        <w:rPr>
          <w:rFonts w:ascii="PT Astra Serif" w:eastAsia="Times New Roman" w:hAnsi="PT Astra Serif"/>
          <w:color w:val="000000"/>
          <w:sz w:val="28"/>
          <w:szCs w:val="28"/>
          <w:lang w:eastAsia="ru-RU"/>
        </w:rPr>
        <w:t xml:space="preserve"> 31 декабря </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24</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 xml:space="preserve">1068 </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4600D1" w:rsidRPr="003A4550" w:rsidRDefault="004600D1" w:rsidP="004600D1">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4600D1" w:rsidRPr="003A4550" w:rsidTr="007C2AEE">
        <w:tc>
          <w:tcPr>
            <w:tcW w:w="5211" w:type="dxa"/>
            <w:shd w:val="clear" w:color="auto" w:fill="auto"/>
          </w:tcPr>
          <w:p w:rsidR="004600D1" w:rsidRPr="003A4550" w:rsidRDefault="004600D1" w:rsidP="007C2AEE">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4600D1" w:rsidRPr="003A4550" w:rsidRDefault="004600D1" w:rsidP="007C2AEE">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roofErr w:type="gramStart"/>
            <w:r>
              <w:rPr>
                <w:rFonts w:ascii="PT Astra Serif" w:hAnsi="PT Astra Serif"/>
                <w:b/>
                <w:bCs/>
                <w:color w:val="000000"/>
                <w:sz w:val="24"/>
                <w:szCs w:val="28"/>
              </w:rPr>
              <w:t xml:space="preserve">  (%)</w:t>
            </w:r>
            <w:proofErr w:type="gramEnd"/>
          </w:p>
          <w:p w:rsidR="004600D1" w:rsidRPr="003A4550" w:rsidRDefault="004600D1" w:rsidP="007C2AEE">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4600D1" w:rsidRPr="003A4550" w:rsidTr="007C2AEE">
        <w:tc>
          <w:tcPr>
            <w:tcW w:w="5211" w:type="dxa"/>
            <w:shd w:val="clear" w:color="auto" w:fill="D3DFEE"/>
          </w:tcPr>
          <w:p w:rsidR="004600D1" w:rsidRPr="003A4550" w:rsidRDefault="004600D1" w:rsidP="007C2AEE">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4600D1" w:rsidRDefault="004600D1" w:rsidP="007C2AEE">
            <w:pPr>
              <w:keepNext/>
              <w:keepLines/>
              <w:spacing w:line="240" w:lineRule="auto"/>
              <w:contextualSpacing/>
              <w:jc w:val="center"/>
              <w:rPr>
                <w:rFonts w:ascii="PT Astra Serif" w:hAnsi="PT Astra Serif"/>
                <w:sz w:val="24"/>
                <w:szCs w:val="28"/>
              </w:rPr>
            </w:pPr>
            <w:r>
              <w:rPr>
                <w:rFonts w:ascii="PT Astra Serif" w:hAnsi="PT Astra Serif"/>
                <w:sz w:val="24"/>
                <w:szCs w:val="28"/>
              </w:rPr>
              <w:t>1723 (41%)</w:t>
            </w:r>
          </w:p>
          <w:p w:rsidR="004600D1" w:rsidRPr="00F7415E" w:rsidRDefault="004600D1" w:rsidP="007C2AEE">
            <w:pPr>
              <w:keepNext/>
              <w:keepLines/>
              <w:spacing w:line="240" w:lineRule="auto"/>
              <w:contextualSpacing/>
              <w:jc w:val="center"/>
              <w:rPr>
                <w:rFonts w:ascii="PT Astra Serif" w:hAnsi="PT Astra Serif"/>
                <w:sz w:val="24"/>
                <w:szCs w:val="28"/>
              </w:rPr>
            </w:pPr>
          </w:p>
        </w:tc>
      </w:tr>
      <w:tr w:rsidR="004600D1" w:rsidRPr="003A4550" w:rsidTr="007C2AEE">
        <w:tc>
          <w:tcPr>
            <w:tcW w:w="5211" w:type="dxa"/>
            <w:shd w:val="clear" w:color="auto" w:fill="auto"/>
          </w:tcPr>
          <w:p w:rsidR="004600D1" w:rsidRPr="003A4550" w:rsidRDefault="004600D1" w:rsidP="007C2AEE">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4600D1" w:rsidRDefault="004600D1" w:rsidP="007C2AEE">
            <w:pPr>
              <w:keepNext/>
              <w:keepLines/>
              <w:spacing w:line="240" w:lineRule="auto"/>
              <w:contextualSpacing/>
              <w:jc w:val="center"/>
              <w:rPr>
                <w:rFonts w:ascii="PT Astra Serif" w:hAnsi="PT Astra Serif"/>
                <w:sz w:val="24"/>
                <w:szCs w:val="28"/>
              </w:rPr>
            </w:pPr>
            <w:r>
              <w:rPr>
                <w:rFonts w:ascii="PT Astra Serif" w:hAnsi="PT Astra Serif"/>
                <w:sz w:val="24"/>
                <w:szCs w:val="28"/>
              </w:rPr>
              <w:t>2465(59%)</w:t>
            </w:r>
          </w:p>
          <w:p w:rsidR="004600D1" w:rsidRPr="00F7415E" w:rsidRDefault="004600D1" w:rsidP="007C2AEE">
            <w:pPr>
              <w:keepNext/>
              <w:keepLines/>
              <w:spacing w:line="240" w:lineRule="auto"/>
              <w:contextualSpacing/>
              <w:jc w:val="center"/>
              <w:rPr>
                <w:rFonts w:ascii="PT Astra Serif" w:hAnsi="PT Astra Serif"/>
                <w:sz w:val="24"/>
                <w:szCs w:val="28"/>
              </w:rPr>
            </w:pPr>
          </w:p>
        </w:tc>
      </w:tr>
      <w:tr w:rsidR="004600D1" w:rsidRPr="003A4550" w:rsidTr="007C2AEE">
        <w:tc>
          <w:tcPr>
            <w:tcW w:w="5211" w:type="dxa"/>
            <w:shd w:val="clear" w:color="auto" w:fill="D3DFEE"/>
          </w:tcPr>
          <w:p w:rsidR="004600D1" w:rsidRPr="003A4550" w:rsidRDefault="004600D1" w:rsidP="007C2AEE">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4600D1" w:rsidRDefault="004600D1" w:rsidP="007C2AEE">
            <w:pPr>
              <w:keepNext/>
              <w:keepLines/>
              <w:spacing w:line="240" w:lineRule="auto"/>
              <w:contextualSpacing/>
              <w:jc w:val="center"/>
              <w:rPr>
                <w:rFonts w:ascii="PT Astra Serif" w:hAnsi="PT Astra Serif"/>
                <w:sz w:val="24"/>
                <w:szCs w:val="28"/>
              </w:rPr>
            </w:pPr>
            <w:r>
              <w:rPr>
                <w:rFonts w:ascii="PT Astra Serif" w:hAnsi="PT Astra Serif"/>
                <w:sz w:val="24"/>
                <w:szCs w:val="28"/>
              </w:rPr>
              <w:t>4188</w:t>
            </w:r>
          </w:p>
          <w:p w:rsidR="004600D1" w:rsidRDefault="004600D1" w:rsidP="007C2AEE">
            <w:pPr>
              <w:keepNext/>
              <w:keepLines/>
              <w:spacing w:line="240" w:lineRule="auto"/>
              <w:contextualSpacing/>
              <w:jc w:val="center"/>
              <w:rPr>
                <w:rFonts w:ascii="PT Astra Serif" w:hAnsi="PT Astra Serif"/>
                <w:sz w:val="24"/>
                <w:szCs w:val="28"/>
              </w:rPr>
            </w:pPr>
          </w:p>
          <w:p w:rsidR="004600D1" w:rsidRPr="00F7415E" w:rsidRDefault="004600D1" w:rsidP="007C2AEE">
            <w:pPr>
              <w:keepNext/>
              <w:keepLines/>
              <w:spacing w:line="240" w:lineRule="auto"/>
              <w:contextualSpacing/>
              <w:jc w:val="center"/>
              <w:rPr>
                <w:rFonts w:ascii="PT Astra Serif" w:hAnsi="PT Astra Serif"/>
                <w:sz w:val="24"/>
                <w:szCs w:val="28"/>
              </w:rPr>
            </w:pPr>
          </w:p>
        </w:tc>
      </w:tr>
    </w:tbl>
    <w:p w:rsidR="004600D1" w:rsidRPr="003A4550" w:rsidRDefault="004600D1" w:rsidP="004600D1">
      <w:pPr>
        <w:keepNext/>
        <w:keepLines/>
        <w:spacing w:after="0" w:line="240" w:lineRule="auto"/>
        <w:ind w:firstLine="708"/>
        <w:contextualSpacing/>
        <w:jc w:val="both"/>
        <w:rPr>
          <w:rFonts w:ascii="PT Astra Serif" w:hAnsi="PT Astra Serif"/>
          <w:color w:val="000000"/>
          <w:sz w:val="28"/>
          <w:szCs w:val="28"/>
        </w:rPr>
      </w:pPr>
    </w:p>
    <w:p w:rsidR="004600D1" w:rsidRPr="00B70052" w:rsidRDefault="004600D1" w:rsidP="004600D1">
      <w:pPr>
        <w:keepNext/>
        <w:keepLines/>
        <w:shd w:val="clear" w:color="auto" w:fill="FFFFFF"/>
        <w:spacing w:after="450" w:line="240" w:lineRule="auto"/>
        <w:ind w:left="-142" w:firstLine="142"/>
        <w:jc w:val="both"/>
        <w:rPr>
          <w:rFonts w:ascii="PT Astra Serif" w:eastAsia="Times New Roman" w:hAnsi="PT Astra Serif"/>
          <w:color w:val="000000"/>
          <w:sz w:val="28"/>
          <w:szCs w:val="28"/>
          <w:lang w:eastAsia="ru-RU"/>
        </w:rPr>
      </w:pP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w:t>
      </w:r>
      <w:r>
        <w:rPr>
          <w:rFonts w:ascii="PT Astra Serif" w:eastAsia="Times New Roman" w:hAnsi="PT Astra Serif"/>
          <w:color w:val="000000"/>
          <w:sz w:val="28"/>
          <w:szCs w:val="28"/>
          <w:lang w:eastAsia="ru-RU"/>
        </w:rPr>
        <w:t>рные подразделения Министерства.</w:t>
      </w:r>
    </w:p>
    <w:p w:rsidR="004600D1" w:rsidRPr="003A4550" w:rsidRDefault="004600D1" w:rsidP="004600D1">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4600D1" w:rsidRPr="003A4550" w:rsidRDefault="004600D1" w:rsidP="004600D1">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4600D1" w:rsidRPr="003A4550" w:rsidTr="007C2AEE">
        <w:tc>
          <w:tcPr>
            <w:tcW w:w="6204" w:type="dxa"/>
            <w:shd w:val="clear" w:color="auto" w:fill="auto"/>
          </w:tcPr>
          <w:p w:rsidR="004600D1" w:rsidRPr="003A4550" w:rsidRDefault="004600D1" w:rsidP="007C2AEE">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4600D1" w:rsidRDefault="004600D1" w:rsidP="007C2AEE">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4600D1" w:rsidRPr="003A4550" w:rsidRDefault="004600D1" w:rsidP="007C2AEE">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4600D1" w:rsidRPr="003A4550" w:rsidRDefault="004600D1" w:rsidP="007C2AEE">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4600D1" w:rsidRPr="003A4550" w:rsidTr="007C2AEE">
        <w:tc>
          <w:tcPr>
            <w:tcW w:w="6204" w:type="dxa"/>
            <w:shd w:val="clear" w:color="auto" w:fill="D3DFEE"/>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3260" w:type="dxa"/>
            <w:shd w:val="clear" w:color="auto" w:fill="D3DFEE"/>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2280</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54%</w:t>
            </w:r>
          </w:p>
        </w:tc>
      </w:tr>
      <w:tr w:rsidR="004600D1" w:rsidRPr="003A4550" w:rsidTr="007C2AEE">
        <w:trPr>
          <w:trHeight w:val="706"/>
        </w:trPr>
        <w:tc>
          <w:tcPr>
            <w:tcW w:w="6204" w:type="dxa"/>
            <w:shd w:val="clear" w:color="auto" w:fill="auto"/>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60" w:type="dxa"/>
            <w:shd w:val="clear" w:color="auto" w:fill="auto"/>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811</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19%</w:t>
            </w:r>
          </w:p>
        </w:tc>
      </w:tr>
      <w:tr w:rsidR="004600D1" w:rsidRPr="003A4550" w:rsidTr="007C2AEE">
        <w:trPr>
          <w:trHeight w:val="558"/>
        </w:trPr>
        <w:tc>
          <w:tcPr>
            <w:tcW w:w="6204" w:type="dxa"/>
            <w:shd w:val="clear" w:color="auto" w:fill="D3DFEE"/>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D3DFEE"/>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87</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tc>
      </w:tr>
      <w:tr w:rsidR="004600D1" w:rsidRPr="003A4550" w:rsidTr="007C2AEE">
        <w:tc>
          <w:tcPr>
            <w:tcW w:w="6204" w:type="dxa"/>
            <w:shd w:val="clear" w:color="auto" w:fill="auto"/>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456</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11%</w:t>
            </w:r>
          </w:p>
        </w:tc>
      </w:tr>
      <w:tr w:rsidR="004600D1" w:rsidRPr="003A4550" w:rsidTr="007C2AEE">
        <w:tc>
          <w:tcPr>
            <w:tcW w:w="6204" w:type="dxa"/>
            <w:shd w:val="clear" w:color="auto" w:fill="D3DFEE"/>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D3DFEE"/>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56</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4600D1" w:rsidRPr="003A4550" w:rsidTr="007C2AEE">
        <w:tc>
          <w:tcPr>
            <w:tcW w:w="6204" w:type="dxa"/>
            <w:shd w:val="clear" w:color="auto" w:fill="auto"/>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106</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p>
        </w:tc>
      </w:tr>
      <w:tr w:rsidR="004600D1" w:rsidRPr="003A4550" w:rsidTr="007C2AEE">
        <w:tc>
          <w:tcPr>
            <w:tcW w:w="6204" w:type="dxa"/>
            <w:shd w:val="clear" w:color="auto" w:fill="D3DFEE"/>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D3DFEE"/>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21</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4600D1" w:rsidRPr="003A4550" w:rsidTr="007C2AEE">
        <w:tc>
          <w:tcPr>
            <w:tcW w:w="6204" w:type="dxa"/>
            <w:shd w:val="clear" w:color="auto" w:fill="auto"/>
          </w:tcPr>
          <w:p w:rsidR="004600D1" w:rsidRPr="003A4550" w:rsidRDefault="004600D1" w:rsidP="007C2AEE">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auto"/>
          </w:tcPr>
          <w:p w:rsidR="004600D1"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371</w:t>
            </w:r>
          </w:p>
          <w:p w:rsidR="004600D1" w:rsidRPr="003A4550" w:rsidRDefault="004600D1" w:rsidP="007C2AEE">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 xml:space="preserve">9%  </w:t>
            </w:r>
          </w:p>
        </w:tc>
      </w:tr>
    </w:tbl>
    <w:p w:rsidR="004600D1" w:rsidRDefault="004600D1" w:rsidP="004600D1">
      <w:pPr>
        <w:pStyle w:val="a5"/>
        <w:keepNext/>
        <w:keepLines/>
        <w:shd w:val="clear" w:color="auto" w:fill="FFFFFF"/>
        <w:spacing w:after="0" w:line="240" w:lineRule="auto"/>
        <w:ind w:left="0" w:firstLine="0"/>
        <w:rPr>
          <w:rFonts w:ascii="PT Astra Serif" w:hAnsi="PT Astra Serif"/>
          <w:b/>
          <w:bCs/>
          <w:color w:val="000000"/>
          <w:sz w:val="28"/>
          <w:szCs w:val="28"/>
          <w:lang w:eastAsia="ru-RU"/>
        </w:rPr>
      </w:pPr>
    </w:p>
    <w:p w:rsidR="004600D1" w:rsidRDefault="004600D1" w:rsidP="004600D1">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4600D1" w:rsidRDefault="004600D1" w:rsidP="004600D1">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4600D1" w:rsidRPr="003A4550" w:rsidRDefault="004600D1" w:rsidP="004600D1">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4600D1" w:rsidRPr="003A4550" w:rsidRDefault="004600D1" w:rsidP="004600D1">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4600D1" w:rsidRPr="003A4550" w:rsidTr="007C2AEE">
        <w:trPr>
          <w:trHeight w:val="1368"/>
        </w:trPr>
        <w:tc>
          <w:tcPr>
            <w:tcW w:w="2838" w:type="pct"/>
            <w:shd w:val="clear" w:color="auto" w:fill="auto"/>
            <w:hideMark/>
          </w:tcPr>
          <w:p w:rsidR="004600D1" w:rsidRPr="003A4550" w:rsidRDefault="004600D1" w:rsidP="007C2AEE">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4600D1" w:rsidRDefault="004600D1" w:rsidP="007C2AEE">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2024 год</w:t>
            </w:r>
          </w:p>
          <w:p w:rsidR="004600D1" w:rsidRDefault="004600D1" w:rsidP="007C2AEE">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4600D1" w:rsidRPr="00337A41" w:rsidRDefault="004600D1" w:rsidP="007C2AEE">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4600D1" w:rsidRPr="003A4550" w:rsidTr="007C2AEE">
        <w:tc>
          <w:tcPr>
            <w:tcW w:w="2838" w:type="pct"/>
            <w:shd w:val="clear" w:color="auto" w:fill="FFFFFF" w:themeFill="background1"/>
            <w:hideMark/>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274</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(7%)</w:t>
            </w:r>
          </w:p>
        </w:tc>
      </w:tr>
      <w:tr w:rsidR="004600D1" w:rsidRPr="003A4550" w:rsidTr="007C2AEE">
        <w:tc>
          <w:tcPr>
            <w:tcW w:w="2838" w:type="pct"/>
            <w:shd w:val="clear" w:color="auto" w:fill="B6DDE8" w:themeFill="accent5" w:themeFillTint="66"/>
            <w:hideMark/>
          </w:tcPr>
          <w:p w:rsidR="004600D1" w:rsidRPr="003A4550" w:rsidRDefault="004600D1" w:rsidP="007C2AEE">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490</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(12%)</w:t>
            </w:r>
          </w:p>
        </w:tc>
      </w:tr>
      <w:tr w:rsidR="004600D1" w:rsidRPr="003A4550" w:rsidTr="007C2AEE">
        <w:tc>
          <w:tcPr>
            <w:tcW w:w="2838" w:type="pct"/>
            <w:shd w:val="clear" w:color="auto" w:fill="FFFFFF" w:themeFill="background1"/>
            <w:hideMark/>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525</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(12%)</w:t>
            </w:r>
          </w:p>
        </w:tc>
      </w:tr>
      <w:tr w:rsidR="004600D1" w:rsidRPr="003A4550" w:rsidTr="007C2AEE">
        <w:tc>
          <w:tcPr>
            <w:tcW w:w="2838" w:type="pct"/>
            <w:shd w:val="clear" w:color="auto" w:fill="B6DDE8" w:themeFill="accent5" w:themeFillTint="66"/>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8</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4600D1" w:rsidRPr="003A4550" w:rsidTr="007C2AEE">
        <w:trPr>
          <w:trHeight w:val="1129"/>
        </w:trPr>
        <w:tc>
          <w:tcPr>
            <w:tcW w:w="2838" w:type="pct"/>
            <w:shd w:val="clear" w:color="auto" w:fill="FFFFFF" w:themeFill="background1"/>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307</w:t>
            </w:r>
          </w:p>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(7%)</w:t>
            </w:r>
          </w:p>
        </w:tc>
      </w:tr>
      <w:tr w:rsidR="004600D1" w:rsidRPr="003A4550" w:rsidTr="007C2AEE">
        <w:tc>
          <w:tcPr>
            <w:tcW w:w="2838" w:type="pct"/>
            <w:shd w:val="clear" w:color="auto" w:fill="B6DDE8" w:themeFill="accent5" w:themeFillTint="66"/>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42</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4600D1" w:rsidRPr="003A4550" w:rsidTr="007C2AEE">
        <w:tc>
          <w:tcPr>
            <w:tcW w:w="2838" w:type="pct"/>
            <w:shd w:val="clear" w:color="auto" w:fill="FFFFFF" w:themeFill="background1"/>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4600D1"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2542</w:t>
            </w:r>
          </w:p>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(61%)</w:t>
            </w:r>
          </w:p>
        </w:tc>
      </w:tr>
      <w:tr w:rsidR="004600D1" w:rsidRPr="003A4550" w:rsidTr="007C2AEE">
        <w:trPr>
          <w:trHeight w:val="383"/>
        </w:trPr>
        <w:tc>
          <w:tcPr>
            <w:tcW w:w="2838" w:type="pct"/>
            <w:shd w:val="clear" w:color="auto" w:fill="FFFFFF" w:themeFill="background1"/>
            <w:hideMark/>
          </w:tcPr>
          <w:p w:rsidR="004600D1" w:rsidRPr="003A4550" w:rsidRDefault="004600D1" w:rsidP="007C2AEE">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4600D1" w:rsidRPr="003A4550" w:rsidRDefault="004600D1" w:rsidP="007C2AEE">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b/>
                <w:color w:val="000000"/>
                <w:sz w:val="28"/>
                <w:szCs w:val="28"/>
                <w:lang w:eastAsia="ru-RU"/>
              </w:rPr>
              <w:t>4188</w:t>
            </w:r>
          </w:p>
        </w:tc>
      </w:tr>
    </w:tbl>
    <w:p w:rsidR="004600D1" w:rsidRDefault="004600D1" w:rsidP="004600D1">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4600D1" w:rsidRDefault="004600D1" w:rsidP="004600D1">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4600D1" w:rsidRDefault="004600D1" w:rsidP="004600D1">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4600D1" w:rsidRDefault="004600D1" w:rsidP="004600D1">
      <w:pPr>
        <w:keepNext/>
        <w:keepLines/>
        <w:shd w:val="clear" w:color="auto" w:fill="FFFFFF"/>
        <w:spacing w:after="0" w:line="240" w:lineRule="auto"/>
        <w:ind w:firstLine="708"/>
        <w:jc w:val="both"/>
      </w:pPr>
      <w:r w:rsidRPr="003A4550">
        <w:rPr>
          <w:rFonts w:ascii="PT Astra Serif" w:eastAsia="Times New Roman" w:hAnsi="PT Astra Serif"/>
          <w:color w:val="000000"/>
          <w:sz w:val="28"/>
          <w:szCs w:val="28"/>
          <w:lang w:eastAsia="ru-RU"/>
        </w:rPr>
        <w:t xml:space="preserve">По итогам  </w:t>
      </w:r>
      <w:r>
        <w:rPr>
          <w:rFonts w:ascii="PT Astra Serif" w:eastAsia="Times New Roman" w:hAnsi="PT Astra Serif"/>
          <w:color w:val="000000"/>
          <w:sz w:val="28"/>
          <w:szCs w:val="28"/>
          <w:lang w:eastAsia="ru-RU"/>
        </w:rPr>
        <w:t xml:space="preserve">12 месяцев </w:t>
      </w:r>
      <w:r w:rsidRPr="003A4550">
        <w:rPr>
          <w:rFonts w:ascii="PT Astra Serif" w:eastAsia="Times New Roman" w:hAnsi="PT Astra Serif"/>
          <w:color w:val="000000"/>
          <w:sz w:val="28"/>
          <w:szCs w:val="28"/>
          <w:lang w:eastAsia="ru-RU"/>
        </w:rPr>
        <w:t>202</w:t>
      </w:r>
      <w:r>
        <w:rPr>
          <w:rFonts w:ascii="PT Astra Serif" w:eastAsia="Times New Roman" w:hAnsi="PT Astra Serif"/>
          <w:color w:val="000000"/>
          <w:sz w:val="28"/>
          <w:szCs w:val="28"/>
          <w:lang w:eastAsia="ru-RU"/>
        </w:rPr>
        <w:t>4</w:t>
      </w:r>
      <w:r w:rsidRPr="003A4550">
        <w:rPr>
          <w:rFonts w:ascii="PT Astra Serif" w:eastAsia="Times New Roman" w:hAnsi="PT Astra Serif"/>
          <w:color w:val="000000"/>
          <w:sz w:val="28"/>
          <w:szCs w:val="28"/>
          <w:lang w:eastAsia="ru-RU"/>
        </w:rPr>
        <w:t xml:space="preserve"> </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года  было проведено</w:t>
      </w:r>
      <w:r>
        <w:rPr>
          <w:rFonts w:ascii="PT Astra Serif" w:eastAsia="Times New Roman" w:hAnsi="PT Astra Serif"/>
          <w:color w:val="000000"/>
          <w:sz w:val="28"/>
          <w:szCs w:val="28"/>
          <w:lang w:eastAsia="ru-RU"/>
        </w:rPr>
        <w:t xml:space="preserve"> 99 </w:t>
      </w:r>
      <w:r w:rsidRPr="003A4550">
        <w:rPr>
          <w:rFonts w:ascii="PT Astra Serif" w:eastAsia="Times New Roman" w:hAnsi="PT Astra Serif"/>
          <w:color w:val="000000"/>
          <w:sz w:val="28"/>
          <w:szCs w:val="28"/>
          <w:lang w:eastAsia="ru-RU"/>
        </w:rPr>
        <w:t>личных прием</w:t>
      </w:r>
      <w:r>
        <w:rPr>
          <w:rFonts w:ascii="PT Astra Serif" w:eastAsia="Times New Roman" w:hAnsi="PT Astra Serif"/>
          <w:color w:val="000000"/>
          <w:sz w:val="28"/>
          <w:szCs w:val="28"/>
          <w:lang w:eastAsia="ru-RU"/>
        </w:rPr>
        <w:t>ов</w:t>
      </w:r>
      <w:r w:rsidRPr="003A4550">
        <w:rPr>
          <w:rFonts w:ascii="PT Astra Serif" w:eastAsia="Times New Roman" w:hAnsi="PT Astra Serif"/>
          <w:color w:val="000000"/>
          <w:sz w:val="28"/>
          <w:szCs w:val="28"/>
          <w:lang w:eastAsia="ru-RU"/>
        </w:rPr>
        <w:t>, принято</w:t>
      </w:r>
      <w:r>
        <w:rPr>
          <w:rFonts w:ascii="PT Astra Serif" w:eastAsia="Times New Roman" w:hAnsi="PT Astra Serif"/>
          <w:color w:val="000000"/>
          <w:sz w:val="28"/>
          <w:szCs w:val="28"/>
          <w:lang w:eastAsia="ru-RU"/>
        </w:rPr>
        <w:t xml:space="preserve"> 99 человек</w:t>
      </w:r>
      <w:r w:rsidRPr="003A4550">
        <w:rPr>
          <w:rFonts w:ascii="PT Astra Serif" w:eastAsia="Times New Roman" w:hAnsi="PT Astra Serif"/>
          <w:color w:val="000000"/>
          <w:sz w:val="28"/>
          <w:szCs w:val="28"/>
          <w:lang w:eastAsia="ru-RU"/>
        </w:rPr>
        <w:t>.</w:t>
      </w:r>
    </w:p>
    <w:p w:rsidR="0062788F" w:rsidRDefault="0062788F">
      <w:bookmarkStart w:id="0" w:name="_GoBack"/>
      <w:bookmarkEnd w:id="0"/>
    </w:p>
    <w:sectPr w:rsidR="0062788F" w:rsidSect="006574DB">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F9"/>
    <w:rsid w:val="003904F9"/>
    <w:rsid w:val="004600D1"/>
    <w:rsid w:val="0062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0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600D1"/>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4600D1"/>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4600D1"/>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4600D1"/>
    <w:rPr>
      <w:rFonts w:ascii="Calibri" w:eastAsia="Calibri" w:hAnsi="Calibri" w:cs="Times New Roman"/>
    </w:rPr>
  </w:style>
  <w:style w:type="paragraph" w:customStyle="1" w:styleId="2">
    <w:name w:val="Основной текст2"/>
    <w:basedOn w:val="a"/>
    <w:rsid w:val="004600D1"/>
    <w:pPr>
      <w:widowControl w:val="0"/>
      <w:shd w:val="clear" w:color="auto" w:fill="FFFFFF"/>
      <w:spacing w:after="120" w:line="317" w:lineRule="exact"/>
      <w:ind w:hanging="1680"/>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0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600D1"/>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4600D1"/>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4600D1"/>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4600D1"/>
    <w:rPr>
      <w:rFonts w:ascii="Calibri" w:eastAsia="Calibri" w:hAnsi="Calibri" w:cs="Times New Roman"/>
    </w:rPr>
  </w:style>
  <w:style w:type="paragraph" w:customStyle="1" w:styleId="2">
    <w:name w:val="Основной текст2"/>
    <w:basedOn w:val="a"/>
    <w:rsid w:val="004600D1"/>
    <w:pPr>
      <w:widowControl w:val="0"/>
      <w:shd w:val="clear" w:color="auto" w:fill="FFFFFF"/>
      <w:spacing w:after="120" w:line="317" w:lineRule="exact"/>
      <w:ind w:hanging="1680"/>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Company>sborka</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Валентина Евгеньевна</dc:creator>
  <cp:keywords/>
  <dc:description/>
  <cp:lastModifiedBy>Соловьёва Валентина Евгеньевна</cp:lastModifiedBy>
  <cp:revision>2</cp:revision>
  <dcterms:created xsi:type="dcterms:W3CDTF">2025-02-10T08:31:00Z</dcterms:created>
  <dcterms:modified xsi:type="dcterms:W3CDTF">2025-02-10T08:31:00Z</dcterms:modified>
</cp:coreProperties>
</file>